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10" w:type="dxa"/>
        <w:tblInd w:w="-176" w:type="dxa"/>
        <w:shd w:val="clear" w:color="auto" w:fill="E3FDCF"/>
        <w:tblLook w:val="04A0" w:firstRow="1" w:lastRow="0" w:firstColumn="1" w:lastColumn="0" w:noHBand="0" w:noVBand="1"/>
      </w:tblPr>
      <w:tblGrid>
        <w:gridCol w:w="15310"/>
      </w:tblGrid>
      <w:tr w:rsidR="00725CB7" w:rsidTr="000A19B9">
        <w:tc>
          <w:tcPr>
            <w:tcW w:w="15310" w:type="dxa"/>
            <w:shd w:val="clear" w:color="auto" w:fill="E3FDCF"/>
          </w:tcPr>
          <w:p w:rsidR="00725CB7" w:rsidRPr="00725CB7" w:rsidRDefault="00725CB7" w:rsidP="00725CB7">
            <w:pPr>
              <w:pStyle w:val="ListParagraph"/>
              <w:ind w:left="34"/>
              <w:jc w:val="center"/>
              <w:rPr>
                <w:rFonts w:ascii="Arial Black" w:hAnsi="Arial Black"/>
                <w:sz w:val="32"/>
                <w:szCs w:val="32"/>
              </w:rPr>
            </w:pPr>
            <w:r w:rsidRPr="00725CB7">
              <w:rPr>
                <w:rFonts w:ascii="Arial Black" w:hAnsi="Arial Black"/>
                <w:sz w:val="32"/>
                <w:szCs w:val="32"/>
              </w:rPr>
              <w:t>Olympic L</w:t>
            </w:r>
            <w:r w:rsidR="00D24819">
              <w:rPr>
                <w:rFonts w:ascii="Arial Black" w:hAnsi="Arial Black"/>
                <w:sz w:val="32"/>
                <w:szCs w:val="32"/>
              </w:rPr>
              <w:t>ega</w:t>
            </w:r>
            <w:r w:rsidR="00630A6C">
              <w:rPr>
                <w:rFonts w:ascii="Arial Black" w:hAnsi="Arial Black"/>
                <w:sz w:val="32"/>
                <w:szCs w:val="32"/>
              </w:rPr>
              <w:t>cy Sport Premium Funding 2017/18</w:t>
            </w:r>
          </w:p>
          <w:p w:rsidR="00725CB7" w:rsidRDefault="00725CB7" w:rsidP="00EC6E01">
            <w:pPr>
              <w:pStyle w:val="ListParagraph"/>
              <w:ind w:left="34"/>
              <w:rPr>
                <w:b/>
                <w:color w:val="FF0000"/>
              </w:rPr>
            </w:pPr>
          </w:p>
          <w:p w:rsidR="00725CB7" w:rsidRDefault="00855455" w:rsidP="00EC6E01">
            <w:pPr>
              <w:pStyle w:val="ListParagraph"/>
              <w:ind w:left="34"/>
              <w:rPr>
                <w:b/>
                <w:color w:val="FF0000"/>
              </w:rPr>
            </w:pPr>
            <w:r>
              <w:rPr>
                <w:b/>
                <w:color w:val="FF0000"/>
              </w:rPr>
              <w:t>Benwick Primary School</w:t>
            </w:r>
          </w:p>
          <w:p w:rsidR="00725CB7" w:rsidRDefault="00725CB7" w:rsidP="00EC6E01">
            <w:pPr>
              <w:pStyle w:val="ListParagraph"/>
              <w:ind w:left="34"/>
              <w:rPr>
                <w:b/>
                <w:color w:val="FF0000"/>
              </w:rPr>
            </w:pPr>
          </w:p>
          <w:p w:rsidR="00C636DA" w:rsidRDefault="00725CB7" w:rsidP="00946CE8">
            <w:pPr>
              <w:pStyle w:val="ListParagraph"/>
              <w:ind w:left="34"/>
              <w:rPr>
                <w:b/>
                <w:color w:val="FF0000"/>
              </w:rPr>
            </w:pPr>
            <w:r w:rsidRPr="00EE4F12">
              <w:rPr>
                <w:b/>
              </w:rPr>
              <w:t>Current numbers on roll</w:t>
            </w:r>
            <w:r w:rsidRPr="00725CB7">
              <w:t xml:space="preserve"> (nor) Reception – y6 =</w:t>
            </w:r>
            <w:r w:rsidR="007F3251">
              <w:rPr>
                <w:b/>
                <w:color w:val="FF0000"/>
              </w:rPr>
              <w:t xml:space="preserve"> </w:t>
            </w:r>
            <w:r w:rsidR="0019586D">
              <w:rPr>
                <w:b/>
                <w:color w:val="FF0000"/>
              </w:rPr>
              <w:t>97</w:t>
            </w:r>
          </w:p>
          <w:p w:rsidR="00C636DA" w:rsidRDefault="00C636DA" w:rsidP="00946CE8">
            <w:pPr>
              <w:pStyle w:val="ListParagraph"/>
              <w:ind w:left="34"/>
              <w:rPr>
                <w:b/>
                <w:color w:val="FF0000"/>
              </w:rPr>
            </w:pPr>
          </w:p>
          <w:p w:rsidR="00946CE8" w:rsidRDefault="00725CB7" w:rsidP="00946CE8">
            <w:pPr>
              <w:pStyle w:val="ListParagraph"/>
              <w:ind w:left="34"/>
              <w:rPr>
                <w:b/>
              </w:rPr>
            </w:pPr>
            <w:r w:rsidRPr="00946CE8">
              <w:rPr>
                <w:rFonts w:ascii="Arial" w:eastAsia="Times New Roman" w:hAnsi="Arial" w:cs="Arial"/>
                <w:sz w:val="20"/>
                <w:szCs w:val="20"/>
                <w:lang w:eastAsia="en-GB"/>
              </w:rPr>
              <w:t xml:space="preserve">Number of children in </w:t>
            </w:r>
            <w:r w:rsidR="008A0433">
              <w:rPr>
                <w:rFonts w:ascii="Arial" w:eastAsia="Times New Roman" w:hAnsi="Arial" w:cs="Arial"/>
                <w:sz w:val="20"/>
                <w:szCs w:val="20"/>
                <w:lang w:eastAsia="en-GB"/>
              </w:rPr>
              <w:t xml:space="preserve">Reception and </w:t>
            </w:r>
            <w:r w:rsidRPr="00946CE8">
              <w:rPr>
                <w:rFonts w:ascii="Arial" w:eastAsia="Times New Roman" w:hAnsi="Arial" w:cs="Arial"/>
                <w:sz w:val="20"/>
                <w:szCs w:val="20"/>
                <w:lang w:eastAsia="en-GB"/>
              </w:rPr>
              <w:t xml:space="preserve">years 1 – 6 who are </w:t>
            </w:r>
            <w:r w:rsidRPr="00946CE8">
              <w:rPr>
                <w:rFonts w:ascii="Arial" w:eastAsia="Times New Roman" w:hAnsi="Arial" w:cs="Arial"/>
                <w:b/>
                <w:sz w:val="20"/>
                <w:szCs w:val="20"/>
                <w:lang w:eastAsia="en-GB"/>
              </w:rPr>
              <w:t>eligible</w:t>
            </w:r>
            <w:r w:rsidRPr="00946CE8">
              <w:rPr>
                <w:rFonts w:ascii="Arial" w:eastAsia="Times New Roman" w:hAnsi="Arial" w:cs="Arial"/>
                <w:sz w:val="20"/>
                <w:szCs w:val="20"/>
                <w:lang w:eastAsia="en-GB"/>
              </w:rPr>
              <w:t xml:space="preserve"> for  Sport Premium</w:t>
            </w:r>
            <w:r w:rsidR="00453884">
              <w:rPr>
                <w:rFonts w:ascii="Arial" w:eastAsia="Times New Roman" w:hAnsi="Arial" w:cs="Arial"/>
                <w:sz w:val="20"/>
                <w:szCs w:val="20"/>
                <w:lang w:eastAsia="en-GB"/>
              </w:rPr>
              <w:t xml:space="preserve"> on the January 2016</w:t>
            </w:r>
            <w:r w:rsidR="00C636DA">
              <w:rPr>
                <w:rFonts w:ascii="Arial" w:eastAsia="Times New Roman" w:hAnsi="Arial" w:cs="Arial"/>
                <w:sz w:val="20"/>
                <w:szCs w:val="20"/>
                <w:lang w:eastAsia="en-GB"/>
              </w:rPr>
              <w:t xml:space="preserve"> School Census</w:t>
            </w:r>
            <w:r w:rsidRPr="00946CE8">
              <w:rPr>
                <w:rFonts w:ascii="Arial" w:eastAsia="Times New Roman" w:hAnsi="Arial" w:cs="Arial"/>
                <w:sz w:val="20"/>
                <w:szCs w:val="20"/>
                <w:lang w:eastAsia="en-GB"/>
              </w:rPr>
              <w:t xml:space="preserve"> =</w:t>
            </w:r>
            <w:r w:rsidRPr="00FB41D2">
              <w:rPr>
                <w:rFonts w:ascii="Arial" w:eastAsia="Times New Roman" w:hAnsi="Arial" w:cs="Arial"/>
                <w:color w:val="646566"/>
                <w:sz w:val="20"/>
                <w:szCs w:val="20"/>
                <w:lang w:eastAsia="en-GB"/>
              </w:rPr>
              <w:t xml:space="preserve"> </w:t>
            </w:r>
            <w:r w:rsidR="0019586D">
              <w:rPr>
                <w:rFonts w:ascii="Arial" w:eastAsia="Times New Roman" w:hAnsi="Arial" w:cs="Arial"/>
                <w:b/>
                <w:color w:val="FF0000"/>
                <w:sz w:val="20"/>
                <w:szCs w:val="20"/>
                <w:lang w:eastAsia="en-GB"/>
              </w:rPr>
              <w:t>97</w:t>
            </w:r>
          </w:p>
          <w:p w:rsidR="00946CE8" w:rsidRDefault="00946CE8" w:rsidP="00946CE8">
            <w:pPr>
              <w:pStyle w:val="ListParagraph"/>
              <w:ind w:left="34"/>
              <w:rPr>
                <w:b/>
              </w:rPr>
            </w:pPr>
          </w:p>
          <w:p w:rsidR="00725CB7" w:rsidRDefault="00946CE8" w:rsidP="00946CE8">
            <w:pPr>
              <w:pStyle w:val="ListParagraph"/>
              <w:ind w:left="34"/>
              <w:rPr>
                <w:b/>
                <w:color w:val="FF0000"/>
              </w:rPr>
            </w:pPr>
            <w:r w:rsidRPr="00EE4F12">
              <w:rPr>
                <w:b/>
              </w:rPr>
              <w:t xml:space="preserve">Funding received: </w:t>
            </w:r>
            <w:r w:rsidR="00F703A9">
              <w:t>£8000</w:t>
            </w:r>
            <w:r w:rsidRPr="00725CB7">
              <w:t xml:space="preserve"> plus £5 per pupils aged 5-11 years old</w:t>
            </w:r>
            <w:r w:rsidR="00630A6C">
              <w:rPr>
                <w:b/>
                <w:color w:val="FF0000"/>
              </w:rPr>
              <w:t xml:space="preserve"> = Total £13492</w:t>
            </w:r>
            <w:r w:rsidR="00B62BF7">
              <w:rPr>
                <w:b/>
                <w:color w:val="FF0000"/>
              </w:rPr>
              <w:t xml:space="preserve"> (£</w:t>
            </w:r>
            <w:r w:rsidR="00CE2AC8">
              <w:rPr>
                <w:b/>
                <w:color w:val="FF0000"/>
              </w:rPr>
              <w:t>5007 additional funding 17/18)</w:t>
            </w:r>
          </w:p>
          <w:p w:rsidR="00946CE8" w:rsidRPr="00855455" w:rsidRDefault="00946CE8" w:rsidP="00855455">
            <w:pPr>
              <w:rPr>
                <w:b/>
              </w:rPr>
            </w:pPr>
          </w:p>
        </w:tc>
      </w:tr>
      <w:tr w:rsidR="00AA2056" w:rsidTr="000A19B9">
        <w:tc>
          <w:tcPr>
            <w:tcW w:w="15310" w:type="dxa"/>
            <w:shd w:val="clear" w:color="auto" w:fill="E3FDCF"/>
          </w:tcPr>
          <w:p w:rsidR="00EC6E01" w:rsidRPr="00725CB7" w:rsidRDefault="00EC6E01" w:rsidP="000A19B9">
            <w:pPr>
              <w:pStyle w:val="ListParagraph"/>
              <w:spacing w:before="40" w:after="40"/>
              <w:ind w:left="34"/>
              <w:rPr>
                <w:b/>
              </w:rPr>
            </w:pPr>
            <w:r w:rsidRPr="00725CB7">
              <w:rPr>
                <w:b/>
              </w:rPr>
              <w:t xml:space="preserve">Background: </w:t>
            </w:r>
          </w:p>
          <w:p w:rsidR="00AA2056" w:rsidRDefault="00075EBF" w:rsidP="000A19B9">
            <w:pPr>
              <w:pStyle w:val="ListParagraph"/>
              <w:spacing w:before="40" w:after="40"/>
              <w:ind w:left="34"/>
            </w:pPr>
            <w:r>
              <w:t xml:space="preserve">In April 2013, the Government announced new funding of £150 million for Physical Education (PE) and sport.  This funding should be used to improve the quality and breadth of PE and Sport provision. </w:t>
            </w:r>
            <w:r w:rsidR="00946CE8">
              <w:t xml:space="preserve"> </w:t>
            </w:r>
            <w:r>
              <w:t xml:space="preserve">The </w:t>
            </w:r>
            <w:r w:rsidR="00AA2056">
              <w:t>funding</w:t>
            </w:r>
            <w:r>
              <w:t xml:space="preserve"> is for the period</w:t>
            </w:r>
            <w:r w:rsidR="00630A6C">
              <w:t xml:space="preserve"> 1 September 2017</w:t>
            </w:r>
            <w:r w:rsidR="00AA2056">
              <w:t xml:space="preserve"> – 31 Augus</w:t>
            </w:r>
            <w:r w:rsidR="00DA7B55">
              <w:t>t 201</w:t>
            </w:r>
            <w:r w:rsidR="00630A6C">
              <w:t>8</w:t>
            </w:r>
            <w:r w:rsidR="00AA2056">
              <w:t xml:space="preserve">.  This funding is ring fenced to be used for sport specific areas to make an impact </w:t>
            </w:r>
            <w:r w:rsidR="00EC6E01">
              <w:t>i</w:t>
            </w:r>
            <w:r w:rsidR="00AA2056">
              <w:t>n Physical Education</w:t>
            </w:r>
            <w:r>
              <w:t xml:space="preserve"> and Sport</w:t>
            </w:r>
            <w:r w:rsidR="00AA2056">
              <w:t xml:space="preserve"> in schools. </w:t>
            </w:r>
          </w:p>
          <w:p w:rsidR="00075EBF" w:rsidRDefault="00075EBF" w:rsidP="000A19B9">
            <w:pPr>
              <w:pStyle w:val="ListParagraph"/>
              <w:spacing w:before="40" w:after="40"/>
              <w:ind w:left="34"/>
            </w:pPr>
          </w:p>
          <w:p w:rsidR="00075EBF" w:rsidRDefault="00075EBF" w:rsidP="000A19B9">
            <w:pPr>
              <w:pStyle w:val="ListParagraph"/>
              <w:spacing w:before="40" w:after="40"/>
              <w:ind w:left="34"/>
            </w:pPr>
            <w: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AA2056" w:rsidRDefault="00AA2056" w:rsidP="000A19B9">
            <w:pPr>
              <w:spacing w:before="40" w:after="40"/>
            </w:pPr>
          </w:p>
        </w:tc>
      </w:tr>
      <w:tr w:rsidR="00AA2056" w:rsidTr="000A19B9">
        <w:tc>
          <w:tcPr>
            <w:tcW w:w="15310" w:type="dxa"/>
            <w:shd w:val="clear" w:color="auto" w:fill="E3FDCF"/>
          </w:tcPr>
          <w:p w:rsidR="00AA2056" w:rsidRDefault="00AA2056" w:rsidP="000A19B9">
            <w:pPr>
              <w:spacing w:before="40" w:after="40"/>
              <w:rPr>
                <w:b/>
              </w:rPr>
            </w:pPr>
            <w:r w:rsidRPr="00EC6E01">
              <w:rPr>
                <w:b/>
              </w:rPr>
              <w:t xml:space="preserve">During </w:t>
            </w:r>
            <w:r w:rsidR="00DA7B55">
              <w:rPr>
                <w:b/>
              </w:rPr>
              <w:t>the academic year September 201</w:t>
            </w:r>
            <w:r w:rsidR="00CE2AC8">
              <w:rPr>
                <w:b/>
              </w:rPr>
              <w:t>7</w:t>
            </w:r>
            <w:r w:rsidR="0019586D">
              <w:rPr>
                <w:b/>
              </w:rPr>
              <w:t xml:space="preserve"> to July 2017 </w:t>
            </w:r>
            <w:r w:rsidRPr="00EC6E01">
              <w:rPr>
                <w:b/>
              </w:rPr>
              <w:t>we plan to spend our funding in the following areas:</w:t>
            </w:r>
          </w:p>
          <w:p w:rsidR="00946CE8" w:rsidRPr="00946CE8" w:rsidRDefault="002D3C50" w:rsidP="002D3C50">
            <w:pPr>
              <w:spacing w:before="40" w:after="40"/>
              <w:rPr>
                <w:i/>
              </w:rPr>
            </w:pPr>
            <w:r>
              <w:rPr>
                <w:i/>
              </w:rPr>
              <w:t xml:space="preserve">The pink area </w:t>
            </w:r>
            <w:r w:rsidR="00946CE8" w:rsidRPr="00946CE8">
              <w:rPr>
                <w:i/>
              </w:rPr>
              <w:t xml:space="preserve">of the table is </w:t>
            </w:r>
            <w:r>
              <w:rPr>
                <w:i/>
              </w:rPr>
              <w:t xml:space="preserve">package purchased from the </w:t>
            </w:r>
            <w:r w:rsidR="00453884">
              <w:rPr>
                <w:i/>
              </w:rPr>
              <w:t xml:space="preserve">Improve IT formally </w:t>
            </w:r>
            <w:r>
              <w:rPr>
                <w:i/>
              </w:rPr>
              <w:t xml:space="preserve">Witchford </w:t>
            </w:r>
            <w:r w:rsidR="00946CE8" w:rsidRPr="00946CE8">
              <w:rPr>
                <w:i/>
              </w:rPr>
              <w:t xml:space="preserve">School Sports Partnership. </w:t>
            </w:r>
          </w:p>
        </w:tc>
      </w:tr>
      <w:tr w:rsidR="00075EBF" w:rsidTr="000A19B9">
        <w:tc>
          <w:tcPr>
            <w:tcW w:w="15310" w:type="dxa"/>
            <w:shd w:val="clear" w:color="auto" w:fill="E3FDCF"/>
          </w:tcPr>
          <w:p w:rsidR="00075EBF" w:rsidRDefault="00453884" w:rsidP="000A19B9">
            <w:pPr>
              <w:spacing w:before="40" w:after="40"/>
              <w:rPr>
                <w:i/>
              </w:rPr>
            </w:pPr>
            <w:r>
              <w:rPr>
                <w:i/>
              </w:rPr>
              <w:t xml:space="preserve">Improve IT is an </w:t>
            </w:r>
            <w:r w:rsidR="00075EBF" w:rsidRPr="00EB3D12">
              <w:rPr>
                <w:i/>
              </w:rPr>
              <w:t xml:space="preserve"> experienced and highly qualified team </w:t>
            </w:r>
            <w:r>
              <w:rPr>
                <w:i/>
              </w:rPr>
              <w:t xml:space="preserve">that </w:t>
            </w:r>
            <w:r w:rsidR="00075EBF" w:rsidRPr="00EB3D12">
              <w:rPr>
                <w:i/>
              </w:rPr>
              <w:t>works closely with schools</w:t>
            </w:r>
            <w:r w:rsidR="00D25A9E">
              <w:rPr>
                <w:i/>
              </w:rPr>
              <w:t xml:space="preserve"> across </w:t>
            </w:r>
            <w:r w:rsidR="002D3C50">
              <w:rPr>
                <w:i/>
              </w:rPr>
              <w:t>East Cambridgeshire and Fenland</w:t>
            </w:r>
            <w:r w:rsidR="00075EBF" w:rsidRPr="00EB3D12">
              <w:rPr>
                <w:i/>
              </w:rPr>
              <w:t xml:space="preserve"> to support them in raising whole school standards</w:t>
            </w:r>
            <w:r w:rsidR="00D25A9E">
              <w:rPr>
                <w:i/>
              </w:rPr>
              <w:t xml:space="preserve"> in Physical Education and School Sport</w:t>
            </w:r>
            <w:r>
              <w:rPr>
                <w:i/>
              </w:rPr>
              <w:t xml:space="preserve">.  It </w:t>
            </w:r>
            <w:r w:rsidR="00075EBF" w:rsidRPr="00EB3D12">
              <w:rPr>
                <w:i/>
              </w:rPr>
              <w:t>also has extensive and established links with partner organisations; these provide enhanced opportunities for schools.</w:t>
            </w:r>
          </w:p>
          <w:p w:rsidR="00075EBF" w:rsidRPr="00EC6E01" w:rsidRDefault="00075EBF" w:rsidP="000A19B9">
            <w:pPr>
              <w:spacing w:before="40" w:after="40"/>
              <w:rPr>
                <w:b/>
              </w:rPr>
            </w:pPr>
          </w:p>
        </w:tc>
      </w:tr>
    </w:tbl>
    <w:p w:rsidR="000A19B9" w:rsidRDefault="000A19B9"/>
    <w:p w:rsidR="000A19B9" w:rsidRDefault="000A19B9"/>
    <w:p w:rsidR="000A19B9" w:rsidRDefault="000A19B9"/>
    <w:p w:rsidR="000A19B9" w:rsidRDefault="000A19B9"/>
    <w:p w:rsidR="000A19B9" w:rsidRDefault="000A19B9"/>
    <w:p w:rsidR="000A19B9" w:rsidRPr="000A19B9" w:rsidRDefault="000A19B9">
      <w:pPr>
        <w:rPr>
          <w:b/>
          <w:color w:val="FF0000"/>
        </w:rPr>
      </w:pPr>
    </w:p>
    <w:tbl>
      <w:tblPr>
        <w:tblStyle w:val="TableGrid"/>
        <w:tblW w:w="15310" w:type="dxa"/>
        <w:tblInd w:w="-176" w:type="dxa"/>
        <w:tblLook w:val="04A0" w:firstRow="1" w:lastRow="0" w:firstColumn="1" w:lastColumn="0" w:noHBand="0" w:noVBand="1"/>
      </w:tblPr>
      <w:tblGrid>
        <w:gridCol w:w="1277"/>
        <w:gridCol w:w="5813"/>
        <w:gridCol w:w="5419"/>
        <w:gridCol w:w="2801"/>
      </w:tblGrid>
      <w:tr w:rsidR="00B53F2D" w:rsidRPr="00B53F2D" w:rsidTr="00444C09">
        <w:trPr>
          <w:tblHeader/>
        </w:trPr>
        <w:tc>
          <w:tcPr>
            <w:tcW w:w="1277" w:type="dxa"/>
            <w:tcBorders>
              <w:bottom w:val="single" w:sz="4" w:space="0" w:color="auto"/>
            </w:tcBorders>
            <w:shd w:val="clear" w:color="auto" w:fill="0070C0"/>
          </w:tcPr>
          <w:p w:rsidR="00AA2056" w:rsidRPr="00B53F2D" w:rsidRDefault="004A624B" w:rsidP="004A624B">
            <w:pPr>
              <w:rPr>
                <w:b/>
                <w:color w:val="FFFFFF" w:themeColor="background1"/>
              </w:rPr>
            </w:pPr>
            <w:r w:rsidRPr="00B53F2D">
              <w:rPr>
                <w:b/>
                <w:color w:val="FFFFFF" w:themeColor="background1"/>
              </w:rPr>
              <w:lastRenderedPageBreak/>
              <w:t>Sport Premium Spend</w:t>
            </w:r>
          </w:p>
        </w:tc>
        <w:tc>
          <w:tcPr>
            <w:tcW w:w="5813" w:type="dxa"/>
            <w:shd w:val="clear" w:color="auto" w:fill="0070C0"/>
          </w:tcPr>
          <w:p w:rsidR="00AA2056" w:rsidRPr="00B53F2D" w:rsidRDefault="00AA2056" w:rsidP="00AA2056">
            <w:pPr>
              <w:rPr>
                <w:b/>
                <w:color w:val="FFFFFF" w:themeColor="background1"/>
              </w:rPr>
            </w:pPr>
            <w:r w:rsidRPr="00B53F2D">
              <w:rPr>
                <w:b/>
                <w:color w:val="FFFFFF" w:themeColor="background1"/>
              </w:rPr>
              <w:t xml:space="preserve">Activity </w:t>
            </w:r>
          </w:p>
        </w:tc>
        <w:tc>
          <w:tcPr>
            <w:tcW w:w="5419" w:type="dxa"/>
            <w:shd w:val="clear" w:color="auto" w:fill="0070C0"/>
          </w:tcPr>
          <w:p w:rsidR="00AA2056" w:rsidRPr="00B53F2D" w:rsidRDefault="00EB3D12" w:rsidP="00AA2056">
            <w:pPr>
              <w:rPr>
                <w:b/>
                <w:color w:val="FFFFFF" w:themeColor="background1"/>
              </w:rPr>
            </w:pPr>
            <w:r>
              <w:rPr>
                <w:b/>
                <w:color w:val="FFFFFF" w:themeColor="background1"/>
              </w:rPr>
              <w:t xml:space="preserve">Impact / </w:t>
            </w:r>
            <w:r w:rsidR="00AA2056" w:rsidRPr="00B53F2D">
              <w:rPr>
                <w:b/>
                <w:color w:val="FFFFFF" w:themeColor="background1"/>
              </w:rPr>
              <w:t>Rationale for spend</w:t>
            </w:r>
            <w:r w:rsidR="001624D3" w:rsidRPr="00B53F2D">
              <w:rPr>
                <w:b/>
                <w:color w:val="FFFFFF" w:themeColor="background1"/>
              </w:rPr>
              <w:t xml:space="preserve"> and desired outcomes</w:t>
            </w:r>
          </w:p>
        </w:tc>
        <w:tc>
          <w:tcPr>
            <w:tcW w:w="2801" w:type="dxa"/>
            <w:shd w:val="clear" w:color="auto" w:fill="0070C0"/>
          </w:tcPr>
          <w:p w:rsidR="00AA2056" w:rsidRPr="00B53F2D" w:rsidRDefault="00AA2056" w:rsidP="001624D3">
            <w:pPr>
              <w:rPr>
                <w:b/>
                <w:color w:val="FFFFFF" w:themeColor="background1"/>
              </w:rPr>
            </w:pPr>
            <w:r w:rsidRPr="00B53F2D">
              <w:rPr>
                <w:b/>
                <w:color w:val="FFFFFF" w:themeColor="background1"/>
              </w:rPr>
              <w:t xml:space="preserve">Monitoring </w:t>
            </w:r>
          </w:p>
        </w:tc>
      </w:tr>
      <w:tr w:rsidR="00075EBF" w:rsidTr="00444C09">
        <w:tc>
          <w:tcPr>
            <w:tcW w:w="1277" w:type="dxa"/>
            <w:vMerge w:val="restart"/>
            <w:shd w:val="clear" w:color="auto" w:fill="FFE7FF"/>
            <w:textDirection w:val="btLr"/>
          </w:tcPr>
          <w:p w:rsidR="00075EBF" w:rsidRPr="00967AA2" w:rsidRDefault="00CE2AC8" w:rsidP="00FA349A">
            <w:pPr>
              <w:ind w:left="113" w:right="113"/>
              <w:rPr>
                <w:b/>
                <w:sz w:val="24"/>
                <w:szCs w:val="24"/>
              </w:rPr>
            </w:pPr>
            <w:r>
              <w:rPr>
                <w:b/>
                <w:sz w:val="24"/>
                <w:szCs w:val="24"/>
              </w:rPr>
              <w:t>£4455</w:t>
            </w:r>
            <w:r w:rsidR="00967AA2" w:rsidRPr="00967AA2">
              <w:rPr>
                <w:b/>
                <w:sz w:val="24"/>
                <w:szCs w:val="24"/>
              </w:rPr>
              <w:t xml:space="preserve"> </w:t>
            </w:r>
            <w:r w:rsidR="008E71CC" w:rsidRPr="00967AA2">
              <w:rPr>
                <w:b/>
                <w:sz w:val="24"/>
                <w:szCs w:val="24"/>
              </w:rPr>
              <w:t xml:space="preserve"> PE Role Su</w:t>
            </w:r>
            <w:r w:rsidR="0019586D" w:rsidRPr="00967AA2">
              <w:rPr>
                <w:b/>
                <w:sz w:val="24"/>
                <w:szCs w:val="24"/>
              </w:rPr>
              <w:t>bscription to Improve .it 201</w:t>
            </w:r>
            <w:r>
              <w:rPr>
                <w:b/>
                <w:sz w:val="24"/>
                <w:szCs w:val="24"/>
              </w:rPr>
              <w:t>7-18</w:t>
            </w:r>
          </w:p>
          <w:p w:rsidR="00FA349A" w:rsidRPr="00967AA2" w:rsidRDefault="00FA349A" w:rsidP="0019586D">
            <w:pPr>
              <w:ind w:left="113" w:right="113"/>
              <w:rPr>
                <w:b/>
                <w:sz w:val="24"/>
                <w:szCs w:val="24"/>
              </w:rPr>
            </w:pPr>
          </w:p>
          <w:p w:rsidR="00967AA2" w:rsidRPr="002D3C50" w:rsidRDefault="00967AA2" w:rsidP="00967AA2">
            <w:pPr>
              <w:ind w:left="113" w:right="113"/>
              <w:rPr>
                <w:b/>
                <w:sz w:val="28"/>
                <w:szCs w:val="28"/>
              </w:rPr>
            </w:pPr>
            <w:r>
              <w:rPr>
                <w:b/>
                <w:sz w:val="28"/>
                <w:szCs w:val="28"/>
              </w:rPr>
              <w:t xml:space="preserve"> </w:t>
            </w:r>
          </w:p>
        </w:tc>
        <w:tc>
          <w:tcPr>
            <w:tcW w:w="5813" w:type="dxa"/>
            <w:shd w:val="clear" w:color="auto" w:fill="FFE7FF"/>
          </w:tcPr>
          <w:p w:rsidR="00075EBF" w:rsidRDefault="00075EBF" w:rsidP="002D3C50">
            <w:r>
              <w:t>Emplo</w:t>
            </w:r>
            <w:r w:rsidRPr="009C1FEC">
              <w:t xml:space="preserve">ying a PE specialist to team teach alongside teachers to raise standards within Physical Education and Sport. </w:t>
            </w:r>
          </w:p>
        </w:tc>
        <w:tc>
          <w:tcPr>
            <w:tcW w:w="5419" w:type="dxa"/>
            <w:shd w:val="clear" w:color="auto" w:fill="FFE7FF"/>
          </w:tcPr>
          <w:p w:rsidR="00075EBF" w:rsidRPr="00E86A08" w:rsidRDefault="00075EBF" w:rsidP="00871A86">
            <w:r w:rsidRPr="00E86A08">
              <w:t xml:space="preserve">To raise the quality of teaching in Physical Education and Sport. Develop knowledge, skills and confidence to teach the whole child through sport. To increase pupil participation and range of inclusive activities. </w:t>
            </w:r>
          </w:p>
        </w:tc>
        <w:tc>
          <w:tcPr>
            <w:tcW w:w="2801" w:type="dxa"/>
            <w:shd w:val="clear" w:color="auto" w:fill="FFE7FF"/>
          </w:tcPr>
          <w:p w:rsidR="00075EBF" w:rsidRPr="00E86A08" w:rsidRDefault="00075EBF" w:rsidP="00AA2056">
            <w:r w:rsidRPr="00E86A08">
              <w:t>Teacher evaluation &amp; lesson observations. Pupil feedback.</w:t>
            </w:r>
          </w:p>
        </w:tc>
      </w:tr>
      <w:tr w:rsidR="00075EBF" w:rsidTr="00444C09">
        <w:tc>
          <w:tcPr>
            <w:tcW w:w="1277" w:type="dxa"/>
            <w:vMerge/>
            <w:shd w:val="clear" w:color="auto" w:fill="FFE7FF"/>
          </w:tcPr>
          <w:p w:rsidR="00075EBF" w:rsidRDefault="00075EBF" w:rsidP="00AA2056"/>
        </w:tc>
        <w:tc>
          <w:tcPr>
            <w:tcW w:w="5813" w:type="dxa"/>
            <w:shd w:val="clear" w:color="auto" w:fill="FFE7FF"/>
          </w:tcPr>
          <w:p w:rsidR="00444C09" w:rsidRDefault="00444C09" w:rsidP="00AA2056">
            <w:r>
              <w:t xml:space="preserve">Resource Packs – Skipping, Circus Skills, Team Building, Hula-hooping, Parachute Games, Playground Games, Sport Staking </w:t>
            </w:r>
          </w:p>
        </w:tc>
        <w:tc>
          <w:tcPr>
            <w:tcW w:w="5419" w:type="dxa"/>
            <w:shd w:val="clear" w:color="auto" w:fill="FFE7FF"/>
          </w:tcPr>
          <w:p w:rsidR="00075EBF" w:rsidRPr="00E86A08" w:rsidRDefault="00444C09" w:rsidP="00871A86">
            <w:r>
              <w:t>To raise the quality of teaching in Physical Education and Sports – with the help of PE Specialists demonstrating correct play methods</w:t>
            </w:r>
            <w:r w:rsidR="00967AA2">
              <w:t xml:space="preserve"> </w:t>
            </w:r>
          </w:p>
        </w:tc>
        <w:tc>
          <w:tcPr>
            <w:tcW w:w="2801" w:type="dxa"/>
            <w:shd w:val="clear" w:color="auto" w:fill="FFE7FF"/>
          </w:tcPr>
          <w:p w:rsidR="00075EBF" w:rsidRPr="00E86A08" w:rsidRDefault="00967AA2" w:rsidP="00AA2056">
            <w:r>
              <w:t>Teacher’s</w:t>
            </w:r>
            <w:r w:rsidR="00444C09">
              <w:t xml:space="preserve"> evaluation &amp; lesson observation. Pupils </w:t>
            </w:r>
          </w:p>
        </w:tc>
      </w:tr>
      <w:tr w:rsidR="00E144D8" w:rsidTr="00444C09">
        <w:tc>
          <w:tcPr>
            <w:tcW w:w="1277" w:type="dxa"/>
            <w:vMerge/>
            <w:shd w:val="clear" w:color="auto" w:fill="FFE7FF"/>
          </w:tcPr>
          <w:p w:rsidR="00E144D8" w:rsidRDefault="00E144D8" w:rsidP="00AA2056"/>
        </w:tc>
        <w:tc>
          <w:tcPr>
            <w:tcW w:w="5813" w:type="dxa"/>
            <w:shd w:val="clear" w:color="auto" w:fill="FFE7FF"/>
          </w:tcPr>
          <w:p w:rsidR="00E144D8" w:rsidRPr="009C1FEC" w:rsidRDefault="00CE2AC8" w:rsidP="00CE2AC8">
            <w:r>
              <w:t xml:space="preserve">Sports Road Show </w:t>
            </w:r>
          </w:p>
        </w:tc>
        <w:tc>
          <w:tcPr>
            <w:tcW w:w="5419" w:type="dxa"/>
            <w:shd w:val="clear" w:color="auto" w:fill="FFE7FF"/>
          </w:tcPr>
          <w:p w:rsidR="00E144D8" w:rsidRPr="009C1FEC" w:rsidRDefault="00CE2AC8" w:rsidP="00CE2AC8">
            <w:r>
              <w:t>Schools Healthy Living –engaging with parents and children on helping to them make life-style choices</w:t>
            </w:r>
          </w:p>
        </w:tc>
        <w:tc>
          <w:tcPr>
            <w:tcW w:w="2801" w:type="dxa"/>
            <w:shd w:val="clear" w:color="auto" w:fill="FFE7FF"/>
          </w:tcPr>
          <w:p w:rsidR="00E144D8" w:rsidRDefault="00CE2AC8" w:rsidP="00AA2056">
            <w:r>
              <w:t>Impact on learning and understanding</w:t>
            </w:r>
          </w:p>
          <w:p w:rsidR="00CE2AC8" w:rsidRPr="009C1FEC" w:rsidRDefault="00CE2AC8" w:rsidP="00AA2056"/>
        </w:tc>
      </w:tr>
    </w:tbl>
    <w:p w:rsidR="00946CE8" w:rsidRDefault="00946CE8"/>
    <w:tbl>
      <w:tblPr>
        <w:tblStyle w:val="TableGrid"/>
        <w:tblW w:w="15310" w:type="dxa"/>
        <w:tblInd w:w="-176" w:type="dxa"/>
        <w:tblLook w:val="04A0" w:firstRow="1" w:lastRow="0" w:firstColumn="1" w:lastColumn="0" w:noHBand="0" w:noVBand="1"/>
      </w:tblPr>
      <w:tblGrid>
        <w:gridCol w:w="15310"/>
      </w:tblGrid>
      <w:tr w:rsidR="008C4875" w:rsidRPr="008C4875" w:rsidTr="009C1FEC">
        <w:tc>
          <w:tcPr>
            <w:tcW w:w="15310" w:type="dxa"/>
            <w:shd w:val="clear" w:color="auto" w:fill="FFC000"/>
          </w:tcPr>
          <w:p w:rsidR="008C4875" w:rsidRPr="008C4875" w:rsidRDefault="008C4875" w:rsidP="008C4875">
            <w:pPr>
              <w:spacing w:before="60" w:after="60"/>
              <w:rPr>
                <w:b/>
                <w:i/>
              </w:rPr>
            </w:pPr>
            <w:r>
              <w:rPr>
                <w:b/>
                <w:i/>
              </w:rPr>
              <w:t>Please note that the list below details how you may have spent your r</w:t>
            </w:r>
            <w:r w:rsidR="009C1FEC">
              <w:rPr>
                <w:b/>
                <w:i/>
              </w:rPr>
              <w:t>emaining funding.  This will be for you to amend as appropriate.</w:t>
            </w:r>
          </w:p>
        </w:tc>
      </w:tr>
    </w:tbl>
    <w:p w:rsidR="001E400F" w:rsidRDefault="001E400F"/>
    <w:tbl>
      <w:tblPr>
        <w:tblStyle w:val="TableGrid"/>
        <w:tblW w:w="15310" w:type="dxa"/>
        <w:tblInd w:w="-176" w:type="dxa"/>
        <w:tblLook w:val="04A0" w:firstRow="1" w:lastRow="0" w:firstColumn="1" w:lastColumn="0" w:noHBand="0" w:noVBand="1"/>
      </w:tblPr>
      <w:tblGrid>
        <w:gridCol w:w="1365"/>
        <w:gridCol w:w="5725"/>
        <w:gridCol w:w="5419"/>
        <w:gridCol w:w="2801"/>
      </w:tblGrid>
      <w:tr w:rsidR="00946CE8" w:rsidRPr="00B53F2D" w:rsidTr="00AF223B">
        <w:trPr>
          <w:tblHeader/>
        </w:trPr>
        <w:tc>
          <w:tcPr>
            <w:tcW w:w="1365" w:type="dxa"/>
            <w:tcBorders>
              <w:bottom w:val="single" w:sz="4" w:space="0" w:color="auto"/>
            </w:tcBorders>
            <w:shd w:val="clear" w:color="auto" w:fill="0070C0"/>
          </w:tcPr>
          <w:p w:rsidR="00946CE8" w:rsidRPr="00B53F2D" w:rsidRDefault="00946CE8" w:rsidP="002D3C50">
            <w:pPr>
              <w:rPr>
                <w:b/>
                <w:color w:val="FFFFFF" w:themeColor="background1"/>
              </w:rPr>
            </w:pPr>
            <w:r w:rsidRPr="00B53F2D">
              <w:rPr>
                <w:b/>
                <w:color w:val="FFFFFF" w:themeColor="background1"/>
              </w:rPr>
              <w:t>Sport Premium Spend</w:t>
            </w:r>
          </w:p>
        </w:tc>
        <w:tc>
          <w:tcPr>
            <w:tcW w:w="5725"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Activity </w:t>
            </w:r>
          </w:p>
        </w:tc>
        <w:tc>
          <w:tcPr>
            <w:tcW w:w="5419" w:type="dxa"/>
            <w:shd w:val="clear" w:color="auto" w:fill="0070C0"/>
          </w:tcPr>
          <w:p w:rsidR="00946CE8" w:rsidRPr="00B53F2D" w:rsidRDefault="00946CE8" w:rsidP="002D3C50">
            <w:pPr>
              <w:rPr>
                <w:b/>
                <w:color w:val="FFFFFF" w:themeColor="background1"/>
              </w:rPr>
            </w:pPr>
            <w:r>
              <w:rPr>
                <w:b/>
                <w:color w:val="FFFFFF" w:themeColor="background1"/>
              </w:rPr>
              <w:t xml:space="preserve">Impact / </w:t>
            </w:r>
            <w:r w:rsidRPr="00B53F2D">
              <w:rPr>
                <w:b/>
                <w:color w:val="FFFFFF" w:themeColor="background1"/>
              </w:rPr>
              <w:t>Rationale for spend and desired outcomes</w:t>
            </w:r>
          </w:p>
        </w:tc>
        <w:tc>
          <w:tcPr>
            <w:tcW w:w="2801"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Monitoring </w:t>
            </w:r>
          </w:p>
        </w:tc>
      </w:tr>
      <w:tr w:rsidR="007A60D3" w:rsidTr="00AF223B">
        <w:tc>
          <w:tcPr>
            <w:tcW w:w="1365" w:type="dxa"/>
            <w:shd w:val="clear" w:color="auto" w:fill="DEEAF6" w:themeFill="accent1" w:themeFillTint="33"/>
          </w:tcPr>
          <w:p w:rsidR="007A60D3" w:rsidRDefault="007A60D3" w:rsidP="00A77ADE">
            <w:r>
              <w:t>£600</w:t>
            </w:r>
          </w:p>
        </w:tc>
        <w:tc>
          <w:tcPr>
            <w:tcW w:w="5725" w:type="dxa"/>
            <w:shd w:val="clear" w:color="auto" w:fill="DEEAF6" w:themeFill="accent1" w:themeFillTint="33"/>
          </w:tcPr>
          <w:p w:rsidR="007A60D3" w:rsidRPr="009C1FEC" w:rsidRDefault="007A60D3" w:rsidP="00A77ADE">
            <w:r>
              <w:t xml:space="preserve">Archery Kit </w:t>
            </w:r>
          </w:p>
        </w:tc>
        <w:tc>
          <w:tcPr>
            <w:tcW w:w="5419" w:type="dxa"/>
            <w:shd w:val="clear" w:color="auto" w:fill="DEEAF6" w:themeFill="accent1" w:themeFillTint="33"/>
          </w:tcPr>
          <w:p w:rsidR="007A60D3" w:rsidRDefault="007A60D3" w:rsidP="008D5741">
            <w:r>
              <w:t xml:space="preserve">Increasing participation thought the school </w:t>
            </w:r>
          </w:p>
        </w:tc>
        <w:tc>
          <w:tcPr>
            <w:tcW w:w="2801" w:type="dxa"/>
            <w:shd w:val="clear" w:color="auto" w:fill="DEEAF6" w:themeFill="accent1" w:themeFillTint="33"/>
          </w:tcPr>
          <w:p w:rsidR="007A60D3" w:rsidRDefault="00A95508" w:rsidP="00A77ADE">
            <w:r>
              <w:t xml:space="preserve">Increasing participation </w:t>
            </w:r>
          </w:p>
        </w:tc>
      </w:tr>
      <w:tr w:rsidR="00A95508" w:rsidTr="00AF223B">
        <w:tc>
          <w:tcPr>
            <w:tcW w:w="1365" w:type="dxa"/>
            <w:shd w:val="clear" w:color="auto" w:fill="DEEAF6" w:themeFill="accent1" w:themeFillTint="33"/>
          </w:tcPr>
          <w:p w:rsidR="00A95508" w:rsidRDefault="00A95508" w:rsidP="00A77ADE">
            <w:r>
              <w:t>£200</w:t>
            </w:r>
          </w:p>
        </w:tc>
        <w:tc>
          <w:tcPr>
            <w:tcW w:w="5725" w:type="dxa"/>
            <w:shd w:val="clear" w:color="auto" w:fill="DEEAF6" w:themeFill="accent1" w:themeFillTint="33"/>
          </w:tcPr>
          <w:p w:rsidR="00A95508" w:rsidRDefault="00A95508" w:rsidP="00A77ADE">
            <w:r>
              <w:t xml:space="preserve">Archery Training </w:t>
            </w:r>
          </w:p>
        </w:tc>
        <w:tc>
          <w:tcPr>
            <w:tcW w:w="5419" w:type="dxa"/>
            <w:shd w:val="clear" w:color="auto" w:fill="DEEAF6" w:themeFill="accent1" w:themeFillTint="33"/>
          </w:tcPr>
          <w:p w:rsidR="00A95508" w:rsidRDefault="00A95508" w:rsidP="008D5741">
            <w:r>
              <w:t>Improvement in the delivery of PE Lessons</w:t>
            </w:r>
          </w:p>
        </w:tc>
        <w:tc>
          <w:tcPr>
            <w:tcW w:w="2801" w:type="dxa"/>
            <w:shd w:val="clear" w:color="auto" w:fill="DEEAF6" w:themeFill="accent1" w:themeFillTint="33"/>
          </w:tcPr>
          <w:p w:rsidR="00A95508" w:rsidRDefault="00A95508" w:rsidP="00A77ADE">
            <w:r>
              <w:t>Effective use of resources</w:t>
            </w:r>
          </w:p>
        </w:tc>
      </w:tr>
      <w:tr w:rsidR="00DD0B2B" w:rsidTr="00AF223B">
        <w:tc>
          <w:tcPr>
            <w:tcW w:w="1365" w:type="dxa"/>
            <w:shd w:val="clear" w:color="auto" w:fill="DEEAF6" w:themeFill="accent1" w:themeFillTint="33"/>
          </w:tcPr>
          <w:p w:rsidR="00DD0B2B" w:rsidRDefault="00A95508" w:rsidP="00A77ADE">
            <w:r>
              <w:t>£200</w:t>
            </w:r>
          </w:p>
        </w:tc>
        <w:tc>
          <w:tcPr>
            <w:tcW w:w="5725" w:type="dxa"/>
            <w:shd w:val="clear" w:color="auto" w:fill="DEEAF6" w:themeFill="accent1" w:themeFillTint="33"/>
          </w:tcPr>
          <w:p w:rsidR="00DD0B2B" w:rsidRPr="009C1FEC" w:rsidRDefault="00DD0B2B" w:rsidP="00A77ADE">
            <w:r>
              <w:t>Coach Travel to Sporting Events</w:t>
            </w:r>
          </w:p>
        </w:tc>
        <w:tc>
          <w:tcPr>
            <w:tcW w:w="5419" w:type="dxa"/>
            <w:shd w:val="clear" w:color="auto" w:fill="DEEAF6" w:themeFill="accent1" w:themeFillTint="33"/>
          </w:tcPr>
          <w:p w:rsidR="00DD0B2B" w:rsidRDefault="00DD0B2B" w:rsidP="008D5741">
            <w:r>
              <w:t xml:space="preserve">Increase whole school team building </w:t>
            </w:r>
          </w:p>
        </w:tc>
        <w:tc>
          <w:tcPr>
            <w:tcW w:w="2801" w:type="dxa"/>
            <w:shd w:val="clear" w:color="auto" w:fill="DEEAF6" w:themeFill="accent1" w:themeFillTint="33"/>
          </w:tcPr>
          <w:p w:rsidR="00DD0B2B" w:rsidRDefault="00DD0B2B" w:rsidP="00A77ADE">
            <w:r>
              <w:t>Increasing participation within the fenland area</w:t>
            </w:r>
          </w:p>
        </w:tc>
      </w:tr>
      <w:tr w:rsidR="005E1F6B" w:rsidTr="00AF223B">
        <w:tc>
          <w:tcPr>
            <w:tcW w:w="1365" w:type="dxa"/>
            <w:shd w:val="clear" w:color="auto" w:fill="DEEAF6" w:themeFill="accent1" w:themeFillTint="33"/>
          </w:tcPr>
          <w:p w:rsidR="005E1F6B" w:rsidRDefault="005E1F6B" w:rsidP="00A77ADE">
            <w:r>
              <w:t>£</w:t>
            </w:r>
            <w:r w:rsidR="00A95508">
              <w:t>200</w:t>
            </w:r>
          </w:p>
          <w:p w:rsidR="005776E1" w:rsidRDefault="005776E1" w:rsidP="00A77ADE"/>
        </w:tc>
        <w:tc>
          <w:tcPr>
            <w:tcW w:w="5725" w:type="dxa"/>
            <w:shd w:val="clear" w:color="auto" w:fill="DEEAF6" w:themeFill="accent1" w:themeFillTint="33"/>
          </w:tcPr>
          <w:p w:rsidR="005E1F6B" w:rsidRDefault="005E1F6B" w:rsidP="00A77ADE">
            <w:r w:rsidRPr="009C1FEC">
              <w:t>Purch</w:t>
            </w:r>
            <w:r>
              <w:t xml:space="preserve">ase of Sports Day Medals, Trophy’s and certificates </w:t>
            </w:r>
          </w:p>
          <w:p w:rsidR="007A60D3" w:rsidRDefault="007A60D3" w:rsidP="00A77ADE"/>
          <w:p w:rsidR="007A60D3" w:rsidRDefault="007A60D3" w:rsidP="00A77ADE"/>
        </w:tc>
        <w:tc>
          <w:tcPr>
            <w:tcW w:w="5419" w:type="dxa"/>
            <w:shd w:val="clear" w:color="auto" w:fill="DEEAF6" w:themeFill="accent1" w:themeFillTint="33"/>
          </w:tcPr>
          <w:p w:rsidR="005E1F6B" w:rsidRDefault="005E1F6B" w:rsidP="008D5741">
            <w:r>
              <w:t xml:space="preserve">Rewards active children and encouragement to participate. </w:t>
            </w:r>
          </w:p>
        </w:tc>
        <w:tc>
          <w:tcPr>
            <w:tcW w:w="2801" w:type="dxa"/>
            <w:shd w:val="clear" w:color="auto" w:fill="DEEAF6" w:themeFill="accent1" w:themeFillTint="33"/>
          </w:tcPr>
          <w:p w:rsidR="005E1F6B" w:rsidRDefault="005E1F6B" w:rsidP="00A77ADE">
            <w:r>
              <w:t>Every child is included in all sport activity.</w:t>
            </w:r>
          </w:p>
        </w:tc>
      </w:tr>
      <w:tr w:rsidR="005E1F6B" w:rsidTr="00AF223B">
        <w:tc>
          <w:tcPr>
            <w:tcW w:w="1365" w:type="dxa"/>
            <w:tcBorders>
              <w:bottom w:val="single" w:sz="4" w:space="0" w:color="auto"/>
            </w:tcBorders>
            <w:shd w:val="clear" w:color="auto" w:fill="DEEAF6" w:themeFill="accent1" w:themeFillTint="33"/>
          </w:tcPr>
          <w:p w:rsidR="005E1F6B" w:rsidRDefault="00DD0B2B" w:rsidP="00AA2056">
            <w:r>
              <w:t>£1900</w:t>
            </w:r>
          </w:p>
        </w:tc>
        <w:tc>
          <w:tcPr>
            <w:tcW w:w="5725" w:type="dxa"/>
            <w:shd w:val="clear" w:color="auto" w:fill="DEEAF6" w:themeFill="accent1" w:themeFillTint="33"/>
          </w:tcPr>
          <w:p w:rsidR="005E1F6B" w:rsidRPr="009C1FEC" w:rsidRDefault="00DD0B2B" w:rsidP="00D861ED">
            <w:r>
              <w:t>Premier Sports – Midday coaching sessions</w:t>
            </w:r>
          </w:p>
        </w:tc>
        <w:tc>
          <w:tcPr>
            <w:tcW w:w="5419" w:type="dxa"/>
            <w:shd w:val="clear" w:color="auto" w:fill="DEEAF6" w:themeFill="accent1" w:themeFillTint="33"/>
          </w:tcPr>
          <w:p w:rsidR="005E1F6B" w:rsidRPr="009C1FEC" w:rsidRDefault="00DD0B2B" w:rsidP="00AA2056">
            <w:r>
              <w:t>Increase lunchtime activity</w:t>
            </w:r>
          </w:p>
        </w:tc>
        <w:tc>
          <w:tcPr>
            <w:tcW w:w="2801" w:type="dxa"/>
            <w:shd w:val="clear" w:color="auto" w:fill="DEEAF6" w:themeFill="accent1" w:themeFillTint="33"/>
          </w:tcPr>
          <w:p w:rsidR="005E1F6B" w:rsidRDefault="00DD0B2B" w:rsidP="00D861ED">
            <w:r>
              <w:t>Improved participation</w:t>
            </w:r>
          </w:p>
        </w:tc>
      </w:tr>
      <w:tr w:rsidR="00A95508" w:rsidTr="00AF223B">
        <w:tc>
          <w:tcPr>
            <w:tcW w:w="1365" w:type="dxa"/>
            <w:shd w:val="clear" w:color="auto" w:fill="DEEAF6" w:themeFill="accent1" w:themeFillTint="33"/>
          </w:tcPr>
          <w:p w:rsidR="00A95508" w:rsidRDefault="00A95508" w:rsidP="00826092">
            <w:pPr>
              <w:jc w:val="center"/>
            </w:pPr>
          </w:p>
        </w:tc>
        <w:tc>
          <w:tcPr>
            <w:tcW w:w="5725" w:type="dxa"/>
            <w:shd w:val="clear" w:color="auto" w:fill="DEEAF6" w:themeFill="accent1" w:themeFillTint="33"/>
          </w:tcPr>
          <w:p w:rsidR="00A95508" w:rsidRPr="009C1FEC" w:rsidRDefault="00A95508" w:rsidP="00AA2056">
            <w:pPr>
              <w:rPr>
                <w:b/>
                <w:color w:val="FF0000"/>
                <w:sz w:val="24"/>
                <w:szCs w:val="24"/>
              </w:rPr>
            </w:pPr>
          </w:p>
        </w:tc>
        <w:tc>
          <w:tcPr>
            <w:tcW w:w="5419" w:type="dxa"/>
            <w:shd w:val="clear" w:color="auto" w:fill="DEEAF6" w:themeFill="accent1" w:themeFillTint="33"/>
          </w:tcPr>
          <w:p w:rsidR="00A95508" w:rsidRDefault="00A95508" w:rsidP="00A77ADE"/>
        </w:tc>
        <w:tc>
          <w:tcPr>
            <w:tcW w:w="2801" w:type="dxa"/>
            <w:shd w:val="clear" w:color="auto" w:fill="DEEAF6" w:themeFill="accent1" w:themeFillTint="33"/>
          </w:tcPr>
          <w:p w:rsidR="00A95508" w:rsidRDefault="00A95508" w:rsidP="00D379E3"/>
        </w:tc>
      </w:tr>
      <w:tr w:rsidR="00826092" w:rsidTr="00AF223B">
        <w:tc>
          <w:tcPr>
            <w:tcW w:w="1365" w:type="dxa"/>
            <w:shd w:val="clear" w:color="auto" w:fill="DEEAF6" w:themeFill="accent1" w:themeFillTint="33"/>
          </w:tcPr>
          <w:p w:rsidR="00826092" w:rsidRDefault="00826092" w:rsidP="00826092">
            <w:pPr>
              <w:jc w:val="center"/>
            </w:pPr>
          </w:p>
        </w:tc>
        <w:tc>
          <w:tcPr>
            <w:tcW w:w="5725" w:type="dxa"/>
            <w:shd w:val="clear" w:color="auto" w:fill="DEEAF6" w:themeFill="accent1" w:themeFillTint="33"/>
          </w:tcPr>
          <w:p w:rsidR="00826092" w:rsidRPr="00B4543F" w:rsidRDefault="00826092" w:rsidP="00AA2056">
            <w:pPr>
              <w:rPr>
                <w:b/>
              </w:rPr>
            </w:pPr>
            <w:r w:rsidRPr="009C1FEC">
              <w:rPr>
                <w:b/>
                <w:color w:val="FF0000"/>
                <w:sz w:val="24"/>
                <w:szCs w:val="24"/>
              </w:rPr>
              <w:t>Total Spe</w:t>
            </w:r>
            <w:r>
              <w:rPr>
                <w:b/>
                <w:color w:val="FF0000"/>
                <w:sz w:val="24"/>
                <w:szCs w:val="24"/>
              </w:rPr>
              <w:t>nd</w:t>
            </w:r>
            <w:r w:rsidR="00A95508">
              <w:rPr>
                <w:b/>
                <w:color w:val="FF0000"/>
                <w:sz w:val="24"/>
                <w:szCs w:val="24"/>
              </w:rPr>
              <w:t xml:space="preserve">  £7555</w:t>
            </w: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bl>
    <w:p w:rsidR="00EA3BE9" w:rsidRDefault="00EA3BE9" w:rsidP="00DF2E93">
      <w:bookmarkStart w:id="0" w:name="_GoBack"/>
      <w:bookmarkEnd w:id="0"/>
    </w:p>
    <w:sectPr w:rsidR="00EA3BE9" w:rsidSect="00725CB7">
      <w:footerReference w:type="default" r:id="rId8"/>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E8" w:rsidRDefault="005D22E8" w:rsidP="002B06E3">
      <w:pPr>
        <w:spacing w:after="0" w:line="240" w:lineRule="auto"/>
      </w:pPr>
      <w:r>
        <w:separator/>
      </w:r>
    </w:p>
  </w:endnote>
  <w:endnote w:type="continuationSeparator" w:id="0">
    <w:p w:rsidR="005D22E8" w:rsidRDefault="005D22E8"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73308"/>
      <w:docPartObj>
        <w:docPartGallery w:val="Page Numbers (Bottom of Page)"/>
        <w:docPartUnique/>
      </w:docPartObj>
    </w:sdtPr>
    <w:sdtEndPr>
      <w:rPr>
        <w:noProof/>
      </w:rPr>
    </w:sdtEndPr>
    <w:sdtContent>
      <w:p w:rsidR="005D22E8" w:rsidRDefault="005D22E8">
        <w:pPr>
          <w:pStyle w:val="Footer"/>
          <w:jc w:val="right"/>
        </w:pPr>
        <w:r>
          <w:fldChar w:fldCharType="begin"/>
        </w:r>
        <w:r>
          <w:instrText xml:space="preserve"> PAGE   \* MERGEFORMAT </w:instrText>
        </w:r>
        <w:r>
          <w:fldChar w:fldCharType="separate"/>
        </w:r>
        <w:r w:rsidR="00A95508">
          <w:rPr>
            <w:noProof/>
          </w:rPr>
          <w:t>2</w:t>
        </w:r>
        <w:r>
          <w:rPr>
            <w:noProof/>
          </w:rPr>
          <w:fldChar w:fldCharType="end"/>
        </w:r>
      </w:p>
    </w:sdtContent>
  </w:sdt>
  <w:p w:rsidR="005D22E8" w:rsidRDefault="005D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E8" w:rsidRDefault="005D22E8" w:rsidP="002B06E3">
      <w:pPr>
        <w:spacing w:after="0" w:line="240" w:lineRule="auto"/>
      </w:pPr>
      <w:r>
        <w:separator/>
      </w:r>
    </w:p>
  </w:footnote>
  <w:footnote w:type="continuationSeparator" w:id="0">
    <w:p w:rsidR="005D22E8" w:rsidRDefault="005D22E8"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47D9"/>
    <w:multiLevelType w:val="hybridMultilevel"/>
    <w:tmpl w:val="427E53E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001B4"/>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909B1"/>
    <w:multiLevelType w:val="hybridMultilevel"/>
    <w:tmpl w:val="B724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258D2"/>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02690"/>
    <w:multiLevelType w:val="hybridMultilevel"/>
    <w:tmpl w:val="2586DE5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1E"/>
    <w:rsid w:val="00024AF4"/>
    <w:rsid w:val="00044309"/>
    <w:rsid w:val="0005214E"/>
    <w:rsid w:val="000545F8"/>
    <w:rsid w:val="00067FD5"/>
    <w:rsid w:val="00075EBF"/>
    <w:rsid w:val="000A19B9"/>
    <w:rsid w:val="000C3134"/>
    <w:rsid w:val="000D279E"/>
    <w:rsid w:val="000E35AA"/>
    <w:rsid w:val="0014790F"/>
    <w:rsid w:val="001624D3"/>
    <w:rsid w:val="0017656F"/>
    <w:rsid w:val="00183842"/>
    <w:rsid w:val="001854CF"/>
    <w:rsid w:val="00187205"/>
    <w:rsid w:val="0019586D"/>
    <w:rsid w:val="001B259A"/>
    <w:rsid w:val="001B774A"/>
    <w:rsid w:val="001E400F"/>
    <w:rsid w:val="001F361D"/>
    <w:rsid w:val="00205843"/>
    <w:rsid w:val="002062E5"/>
    <w:rsid w:val="00213DA2"/>
    <w:rsid w:val="00275727"/>
    <w:rsid w:val="00283993"/>
    <w:rsid w:val="002B06E3"/>
    <w:rsid w:val="002D3C50"/>
    <w:rsid w:val="002F39A2"/>
    <w:rsid w:val="00322122"/>
    <w:rsid w:val="00325536"/>
    <w:rsid w:val="00325657"/>
    <w:rsid w:val="00351B86"/>
    <w:rsid w:val="00361F99"/>
    <w:rsid w:val="00380139"/>
    <w:rsid w:val="0039050C"/>
    <w:rsid w:val="003C0C0F"/>
    <w:rsid w:val="00402F29"/>
    <w:rsid w:val="00444C09"/>
    <w:rsid w:val="004469C8"/>
    <w:rsid w:val="00453884"/>
    <w:rsid w:val="004A3384"/>
    <w:rsid w:val="004A624B"/>
    <w:rsid w:val="005068BF"/>
    <w:rsid w:val="0052051E"/>
    <w:rsid w:val="005776E1"/>
    <w:rsid w:val="00585872"/>
    <w:rsid w:val="00592EFA"/>
    <w:rsid w:val="005953E7"/>
    <w:rsid w:val="00595BA3"/>
    <w:rsid w:val="005C3D93"/>
    <w:rsid w:val="005D22E8"/>
    <w:rsid w:val="005E1F6B"/>
    <w:rsid w:val="005E2071"/>
    <w:rsid w:val="00626783"/>
    <w:rsid w:val="00630A6C"/>
    <w:rsid w:val="0063531A"/>
    <w:rsid w:val="00651EE7"/>
    <w:rsid w:val="006804B7"/>
    <w:rsid w:val="006B76EA"/>
    <w:rsid w:val="006E54D9"/>
    <w:rsid w:val="00725CB7"/>
    <w:rsid w:val="00755F77"/>
    <w:rsid w:val="007A60D3"/>
    <w:rsid w:val="007C2985"/>
    <w:rsid w:val="007F3251"/>
    <w:rsid w:val="00826092"/>
    <w:rsid w:val="00855455"/>
    <w:rsid w:val="00862D9E"/>
    <w:rsid w:val="00871A86"/>
    <w:rsid w:val="00875700"/>
    <w:rsid w:val="0088509E"/>
    <w:rsid w:val="008A0433"/>
    <w:rsid w:val="008B24CD"/>
    <w:rsid w:val="008C4875"/>
    <w:rsid w:val="008C687A"/>
    <w:rsid w:val="008D5741"/>
    <w:rsid w:val="008E71CC"/>
    <w:rsid w:val="00946CE8"/>
    <w:rsid w:val="00967AA2"/>
    <w:rsid w:val="0098034E"/>
    <w:rsid w:val="00984BA1"/>
    <w:rsid w:val="00996950"/>
    <w:rsid w:val="009A31EF"/>
    <w:rsid w:val="009A48D0"/>
    <w:rsid w:val="009C1FEC"/>
    <w:rsid w:val="009D223E"/>
    <w:rsid w:val="009F2173"/>
    <w:rsid w:val="009F2706"/>
    <w:rsid w:val="00A1661A"/>
    <w:rsid w:val="00A76E9B"/>
    <w:rsid w:val="00A77ADE"/>
    <w:rsid w:val="00A95508"/>
    <w:rsid w:val="00AA0AD0"/>
    <w:rsid w:val="00AA2056"/>
    <w:rsid w:val="00AA240B"/>
    <w:rsid w:val="00AA372E"/>
    <w:rsid w:val="00AD6CD9"/>
    <w:rsid w:val="00AD7E43"/>
    <w:rsid w:val="00AE2293"/>
    <w:rsid w:val="00AF149C"/>
    <w:rsid w:val="00AF223B"/>
    <w:rsid w:val="00AF4A86"/>
    <w:rsid w:val="00B26D1B"/>
    <w:rsid w:val="00B402D1"/>
    <w:rsid w:val="00B4543F"/>
    <w:rsid w:val="00B45543"/>
    <w:rsid w:val="00B53F2D"/>
    <w:rsid w:val="00B62BF7"/>
    <w:rsid w:val="00BA40B1"/>
    <w:rsid w:val="00BD2853"/>
    <w:rsid w:val="00C12579"/>
    <w:rsid w:val="00C136E9"/>
    <w:rsid w:val="00C36C29"/>
    <w:rsid w:val="00C4527E"/>
    <w:rsid w:val="00C579AD"/>
    <w:rsid w:val="00C636DA"/>
    <w:rsid w:val="00CB145D"/>
    <w:rsid w:val="00CE2AC8"/>
    <w:rsid w:val="00CF36C5"/>
    <w:rsid w:val="00D12E38"/>
    <w:rsid w:val="00D24819"/>
    <w:rsid w:val="00D25A9E"/>
    <w:rsid w:val="00D3327D"/>
    <w:rsid w:val="00D379E3"/>
    <w:rsid w:val="00D861ED"/>
    <w:rsid w:val="00D87F65"/>
    <w:rsid w:val="00DA7B55"/>
    <w:rsid w:val="00DB04A8"/>
    <w:rsid w:val="00DD0B2B"/>
    <w:rsid w:val="00DD430A"/>
    <w:rsid w:val="00DD7080"/>
    <w:rsid w:val="00DE2AA3"/>
    <w:rsid w:val="00DF2E93"/>
    <w:rsid w:val="00DF591F"/>
    <w:rsid w:val="00E144D8"/>
    <w:rsid w:val="00E86A08"/>
    <w:rsid w:val="00EA3BE9"/>
    <w:rsid w:val="00EB3D12"/>
    <w:rsid w:val="00EC6E01"/>
    <w:rsid w:val="00EE4F12"/>
    <w:rsid w:val="00EE6AF3"/>
    <w:rsid w:val="00EF4349"/>
    <w:rsid w:val="00F224F2"/>
    <w:rsid w:val="00F3406E"/>
    <w:rsid w:val="00F50151"/>
    <w:rsid w:val="00F703A9"/>
    <w:rsid w:val="00FA349A"/>
    <w:rsid w:val="00FA4E72"/>
    <w:rsid w:val="00FB3267"/>
    <w:rsid w:val="00FB4353"/>
    <w:rsid w:val="00FD0EED"/>
    <w:rsid w:val="00FE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8E311D6-0A8E-4F13-9D0C-579ED636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6976-F5C1-4E0E-83E8-299314FD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811122C8</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Ager</dc:creator>
  <cp:lastModifiedBy>Hill Karen</cp:lastModifiedBy>
  <cp:revision>2</cp:revision>
  <cp:lastPrinted>2015-07-13T13:33:00Z</cp:lastPrinted>
  <dcterms:created xsi:type="dcterms:W3CDTF">2018-10-18T10:32:00Z</dcterms:created>
  <dcterms:modified xsi:type="dcterms:W3CDTF">2018-10-18T10:32:00Z</dcterms:modified>
</cp:coreProperties>
</file>